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A7" w:rsidRDefault="00F876A7" w:rsidP="00F876A7">
      <w:pPr>
        <w:pStyle w:val="ATHeading1"/>
      </w:pPr>
      <w:bookmarkStart w:id="0" w:name="_Toc377480280"/>
      <w:r>
        <w:t>P7_TA-PROV(2014)0016</w:t>
      </w:r>
      <w:bookmarkEnd w:id="0"/>
    </w:p>
    <w:p w:rsidR="00F876A7" w:rsidRDefault="00F876A7" w:rsidP="00F876A7">
      <w:pPr>
        <w:pStyle w:val="ATHeading2"/>
      </w:pPr>
      <w:bookmarkStart w:id="1" w:name="_Toc377480281"/>
      <w:r>
        <w:t>Riešenie problematiky plastového odpadu v životnom prostredí</w:t>
      </w:r>
      <w:bookmarkEnd w:id="1"/>
      <w:r>
        <w:t xml:space="preserve"> </w:t>
      </w:r>
    </w:p>
    <w:p w:rsidR="00F876A7" w:rsidRDefault="00F876A7" w:rsidP="00F876A7">
      <w:pPr>
        <w:rPr>
          <w:i/>
          <w:vanish/>
        </w:rPr>
      </w:pPr>
      <w:r>
        <w:rPr>
          <w:i/>
        </w:rPr>
        <w:fldChar w:fldCharType="begin"/>
      </w:r>
      <w:r>
        <w:rPr>
          <w:i/>
        </w:rPr>
        <w:instrText xml:space="preserve"> TC"</w:instrText>
      </w:r>
      <w:bookmarkStart w:id="2" w:name="_Toc377480282"/>
      <w:r>
        <w:rPr>
          <w:i/>
        </w:rPr>
        <w:instrText>(A7-0453/2013 - Spravodajca: Vittorio Prodi)</w:instrText>
      </w:r>
      <w:bookmarkEnd w:id="2"/>
      <w:r>
        <w:rPr>
          <w:i/>
        </w:rPr>
        <w:instrText xml:space="preserve">"\l3 \n&gt; \* MERGEFORMAT </w:instrText>
      </w:r>
      <w:r>
        <w:rPr>
          <w:i/>
        </w:rPr>
        <w:fldChar w:fldCharType="end"/>
      </w:r>
    </w:p>
    <w:p w:rsidR="00F876A7" w:rsidRDefault="00F876A7" w:rsidP="00F876A7">
      <w:pPr>
        <w:rPr>
          <w:vanish/>
        </w:rPr>
      </w:pPr>
      <w:r w:rsidRPr="00E409EC">
        <w:rPr>
          <w:vanish/>
        </w:rPr>
        <w:t>Výbor pre životné prostredie, verejné zdravie a bezpečnosť potravín</w:t>
      </w:r>
    </w:p>
    <w:p w:rsidR="00F876A7" w:rsidRDefault="00F876A7" w:rsidP="00F876A7">
      <w:pPr>
        <w:rPr>
          <w:vanish/>
        </w:rPr>
      </w:pPr>
      <w:r w:rsidRPr="00E409EC">
        <w:rPr>
          <w:vanish/>
        </w:rPr>
        <w:t>PE516.911</w:t>
      </w:r>
    </w:p>
    <w:p w:rsidR="00F876A7" w:rsidRDefault="00F876A7" w:rsidP="00F876A7">
      <w:pPr>
        <w:pStyle w:val="ATHeading3"/>
      </w:pPr>
      <w:bookmarkStart w:id="3" w:name="_Toc377480283"/>
      <w:r>
        <w:t>Uznesenie Európskeho parlamentu zo 14. januára 2014 o európskej stratégii na riešenie problematiky plastového odpadu v životnom prostredí (2013/2113(INI))</w:t>
      </w:r>
      <w:bookmarkEnd w:id="3"/>
    </w:p>
    <w:p w:rsidR="00F876A7" w:rsidRDefault="00F876A7" w:rsidP="00F876A7"/>
    <w:p w:rsidR="00F876A7" w:rsidRPr="00331E67" w:rsidRDefault="00F876A7" w:rsidP="00F876A7">
      <w:pPr>
        <w:spacing w:after="240"/>
        <w:rPr>
          <w:i/>
          <w:szCs w:val="24"/>
        </w:rPr>
      </w:pPr>
      <w:r w:rsidRPr="00331E67">
        <w:rPr>
          <w:i/>
          <w:szCs w:val="24"/>
        </w:rPr>
        <w:t>Európsky parlament,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 Rady 2008/98/ES z 19. novembra 2008 o odpade a o zrušení určitých smerníc (rámcová smernica o odpade),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 Rady 2006/66/ES zo 6. septembra 2006 o batériách a akumulátoroch a použitých batériách a akumulátoroch, ktorou sa zrušuje smernica 91/157/EHS,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Rady 96/59/ES zo 16. septembra 1996 o zneškodnení polychlórovaných bifenylov a polychlórovaných terfenylov (PCB/PCT),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 Rady 2000/53/ES z 18. septembra 2000 o vozidlách po dobe životnosti,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Rady 86/278/EHS z 12. júna 1986 o ochrane životného prostredia a najmä pôdy pri použití splaškových kalov v poľnohospodárstve,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 Rady 94/62/ES o obaloch a odpadoch z obalov (smernica o obaloch),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nariadenie Európskeho parlamentu a Rady (ES) č. 1013/2006 zo 14. júna 2006 o preprave odpadu,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b/>
          <w:i/>
          <w:szCs w:val="24"/>
        </w:rPr>
        <w:tab/>
      </w:r>
      <w:r w:rsidRPr="00331E67">
        <w:rPr>
          <w:szCs w:val="24"/>
        </w:rPr>
        <w:t>so zreteľom na smernicu 2011/65/ES Európskeho parlamentu a Rady z 8. júna 2011 o obmedzení používania určitých nebezpečných látok v elektrických a elektronických zariadeniach (RoHS),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Rady 1999/31/ES z 26. apríla 1999 o skládkach odpadov,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 Rady 2000/76/ES zo 4. decembra 2000 o spaľovaní odpadov,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 Rady 2012/19/EÚ zo 4. júla 2012 o odpade z elektrických a elektronických zariadení (OEEZ),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 xml:space="preserve">so zreteľom na nariadenie Európskeho parlamentu a Rady (ES) č. 1907/2006 z 18. decembra 2006 o registrácii, hodnotení, autorizácii a obmedzovaní chemických látok (REACH), </w:t>
      </w:r>
    </w:p>
    <w:p w:rsidR="00F876A7" w:rsidRPr="00331E67" w:rsidRDefault="00F876A7" w:rsidP="00F876A7">
      <w:pPr>
        <w:pStyle w:val="Normal12Hanging"/>
        <w:keepLines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smernicu Európskeho parlamentu a Rady 2008/56/ES zo 17. júna 2008, ktorou sa ustanovuje rámec pre činnosť Spoločenstva v oblasti morskej environmentálnej politiky (rámcová smernica o morskej stratégii),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 xml:space="preserve">so zreteľom na svoje uznesenie z 13. septembra 2011 o účinnej stratégii pre oblasť surovín </w:t>
      </w:r>
      <w:r w:rsidRPr="00331E67">
        <w:rPr>
          <w:szCs w:val="24"/>
        </w:rPr>
        <w:lastRenderedPageBreak/>
        <w:t>pre Európu</w:t>
      </w:r>
      <w:r w:rsidRPr="00331E67">
        <w:rPr>
          <w:rStyle w:val="Odkaznapoznmkupodiarou"/>
          <w:szCs w:val="24"/>
        </w:rPr>
        <w:footnoteReference w:id="1"/>
      </w:r>
      <w:r w:rsidRPr="00331E67">
        <w:rPr>
          <w:szCs w:val="24"/>
        </w:rPr>
        <w:t>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oznámenie Komisie z 13. februára 2012 s názvom Inovácie pre udržateľný rast: biohos</w:t>
      </w:r>
      <w:r>
        <w:rPr>
          <w:szCs w:val="24"/>
        </w:rPr>
        <w:t>podárstvo pre Európu (COM(2012)00</w:t>
      </w:r>
      <w:r w:rsidRPr="00331E67">
        <w:rPr>
          <w:szCs w:val="24"/>
        </w:rPr>
        <w:t>60),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oznámenie Komisie z 26. januára 2011 s názvom Európa efektívne využívajúca zdroje – hlavná iniciatíva v rámci stratégie Európa 2020 (COM(2011)0021) a na uznesenie Európskeho parlamentu z 24. mája 2012 o Európe efektívne využívajúcej zdroje</w:t>
      </w:r>
      <w:r w:rsidRPr="00331E67">
        <w:rPr>
          <w:rStyle w:val="Odkaznapoznmkupodiarou"/>
          <w:szCs w:val="24"/>
        </w:rPr>
        <w:footnoteReference w:id="2"/>
      </w:r>
      <w:r w:rsidRPr="00331E67">
        <w:rPr>
          <w:szCs w:val="24"/>
        </w:rPr>
        <w:t>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 oznámenie Komisie s názvom Naše životné poistenie, náš prírodný kapitál: stratégia EÚ v oblasti biodiverzity do roku 2020 (COM(2011)0244) a na uznesenie Európskeho parlamentu z 20. apríla 2012 na tému Naše životné poistenie, náš prírodný kapitál: stratégia EÚ v oblasti biodiverzity do roku 2020</w:t>
      </w:r>
      <w:r w:rsidRPr="00331E67">
        <w:rPr>
          <w:rStyle w:val="Odkaznapoznmkupodiarou"/>
          <w:szCs w:val="24"/>
        </w:rPr>
        <w:footnoteReference w:id="3"/>
      </w:r>
      <w:r w:rsidRPr="00331E67">
        <w:rPr>
          <w:szCs w:val="24"/>
        </w:rPr>
        <w:t xml:space="preserve">, 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  <w:t>so zreteľom na zelenú knihu Komisie Európska stratégia pre riešenie problematiky plastového odpadu v životnom prostredí (COM(2013)0123),</w:t>
      </w:r>
    </w:p>
    <w:p w:rsidR="00F876A7" w:rsidRPr="00E61B27" w:rsidRDefault="00F876A7" w:rsidP="00F876A7">
      <w:pPr>
        <w:pStyle w:val="Normal12Hanging"/>
        <w:rPr>
          <w:szCs w:val="24"/>
        </w:rPr>
      </w:pPr>
      <w:r w:rsidRPr="00E61B27">
        <w:rPr>
          <w:szCs w:val="24"/>
        </w:rPr>
        <w:t>–</w:t>
      </w:r>
      <w:r w:rsidRPr="00E61B27">
        <w:rPr>
          <w:szCs w:val="24"/>
        </w:rPr>
        <w:tab/>
        <w:t xml:space="preserve">so zreteľom na rozhodnutie Európskeho parlamentu a Rady </w:t>
      </w:r>
      <w:r>
        <w:rPr>
          <w:szCs w:val="24"/>
        </w:rPr>
        <w:t>č. 1386</w:t>
      </w:r>
      <w:r w:rsidRPr="00E61B27">
        <w:rPr>
          <w:szCs w:val="24"/>
        </w:rPr>
        <w:t>/2013</w:t>
      </w:r>
      <w:r>
        <w:rPr>
          <w:szCs w:val="24"/>
        </w:rPr>
        <w:t>/EÚ</w:t>
      </w:r>
      <w:r w:rsidRPr="00E61B27">
        <w:rPr>
          <w:szCs w:val="24"/>
        </w:rPr>
        <w:t xml:space="preserve"> o všeobecnom environmentálnom akčnom programe Únie do roku 2020,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</w:r>
      <w:r w:rsidRPr="00331E67">
        <w:rPr>
          <w:noProof/>
          <w:szCs w:val="24"/>
        </w:rPr>
        <w:t xml:space="preserve">so zreteľom na článok 48 </w:t>
      </w:r>
      <w:r w:rsidRPr="00331E67">
        <w:rPr>
          <w:noProof/>
          <w:spacing w:val="-2"/>
          <w:szCs w:val="24"/>
        </w:rPr>
        <w:t>rokovacieho poriadku,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–</w:t>
      </w:r>
      <w:r w:rsidRPr="00331E67">
        <w:rPr>
          <w:szCs w:val="24"/>
        </w:rPr>
        <w:tab/>
      </w:r>
      <w:r w:rsidRPr="00331E67">
        <w:rPr>
          <w:noProof/>
          <w:szCs w:val="24"/>
        </w:rPr>
        <w:t>so zreteľom na správu Výboru pre životné prostredie, verejné zdravie a bezpečnosť potravín a stanovisko Výboru pre zamestnanosť a sociálne veci (A7-0453/2013),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noProof/>
          <w:szCs w:val="24"/>
        </w:rPr>
        <w:t>A.</w:t>
      </w:r>
      <w:r w:rsidRPr="00331E67">
        <w:rPr>
          <w:szCs w:val="24"/>
        </w:rPr>
        <w:tab/>
        <w:t>keďže právne predpisy EÚ sa nezaoberajú osobitne plastovým odpadom, a keďže sa považuje za súčasť všeobecného toku odpadu napriek svojmu osobitnému charakteru; keďže tento druh odpadu by sa už nemal považovať len za odpad, ale naopak za surovinu;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noProof/>
          <w:szCs w:val="24"/>
        </w:rPr>
        <w:t>B.</w:t>
      </w:r>
      <w:r w:rsidRPr="00331E67">
        <w:rPr>
          <w:szCs w:val="24"/>
        </w:rPr>
        <w:t xml:space="preserve"> </w:t>
      </w:r>
      <w:r w:rsidRPr="00331E67">
        <w:rPr>
          <w:szCs w:val="24"/>
        </w:rPr>
        <w:tab/>
        <w:t xml:space="preserve">keďže plastové materiály sa stávajú čoraz rozmanitejšie a ich použitie sa rozširuje, čo vedie k väčším objemom odpadu a častejšiemu kombinovaniu s inými materiálmi a zlúčeninami; keďže plasty sa kumulujú vo veľkom objeme (odhaduje sa, že v Atlantickom a Tichom oceáne pláva spolu 80 MT plastov) a v životnom prostredí pretrvávajú stovky rokov, zabíjajú morský život, spôsobujú toxické reakcie a uvoľňujú do ekosystému a teda do potravinového reťazca endokrinné disruptory, látky, ktoré sú karcinogénne, mutagénne alebo poškodzujú reprodukciu, nanočastice a perzistentné organické znečisťujúce látky; keďže len v roku 2010 bolo na trh EÚ umiestnených 95,5 mld. plastových tašiek, z ktorých väčšina bola určená iba na jedno použitie, pričom v mnohých krajinách je ich použitie obmedzované alebo zakázané; 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C.</w:t>
      </w:r>
      <w:r w:rsidRPr="00331E67">
        <w:rPr>
          <w:szCs w:val="24"/>
        </w:rPr>
        <w:tab/>
        <w:t>keďže nedostatočné vykonávanie a presadzovanie právnych predpisov EÚ o odpadoch, absencia príslušných cieľov a cenových mechanizmov, nedostatočný vnútorný dopyt po recyklovaných materiáloch, nezákonné ukladanie odpadu, nezákonný vývoz, nesprávne skladovanie, spracovanie a nesprávny spôsob dopravy plastového odpadu spôsobili vážne poškodenie životného a morského prostredia a zvýšenie vývozu odpadu, výsledkom ktorého je strata materiálov a zamestnanosti v EÚ;</w:t>
      </w:r>
    </w:p>
    <w:p w:rsidR="00F876A7" w:rsidRPr="00E61B27" w:rsidRDefault="00F876A7" w:rsidP="00F876A7">
      <w:pPr>
        <w:pStyle w:val="Normal12Hanging"/>
        <w:rPr>
          <w:szCs w:val="24"/>
        </w:rPr>
      </w:pPr>
      <w:r w:rsidRPr="00E61B27">
        <w:rPr>
          <w:noProof/>
          <w:szCs w:val="24"/>
        </w:rPr>
        <w:lastRenderedPageBreak/>
        <w:t>D.</w:t>
      </w:r>
      <w:r w:rsidRPr="00E61B27">
        <w:rPr>
          <w:szCs w:val="24"/>
        </w:rPr>
        <w:tab/>
        <w:t>keďže zákaz ukladania plastového odpadu na skládky ako taký nevedie k želanému získavaniu surovín, ak sú tieto množstvá presmerované do spaľovní;</w:t>
      </w:r>
    </w:p>
    <w:p w:rsidR="00F876A7" w:rsidRPr="00E61B27" w:rsidRDefault="00F876A7" w:rsidP="00F876A7">
      <w:pPr>
        <w:pStyle w:val="Normal12Hanging"/>
        <w:rPr>
          <w:szCs w:val="24"/>
        </w:rPr>
      </w:pPr>
      <w:r w:rsidRPr="00E61B27">
        <w:rPr>
          <w:noProof/>
          <w:szCs w:val="24"/>
        </w:rPr>
        <w:t>E.</w:t>
      </w:r>
      <w:r w:rsidRPr="00E61B27">
        <w:rPr>
          <w:szCs w:val="24"/>
        </w:rPr>
        <w:tab/>
        <w:t>keďže v prípade plastového odpadu by sa malo trvať na prevencii a minimalizácii, a výrobcovia by sa mali nabádať k tomu, aby si pri tvorbe svojich výrobkov vyberali náhradné a trvalejšie materiály;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noProof/>
          <w:szCs w:val="24"/>
        </w:rPr>
        <w:t>F.</w:t>
      </w:r>
      <w:r w:rsidRPr="00331E67">
        <w:rPr>
          <w:szCs w:val="24"/>
        </w:rPr>
        <w:tab/>
        <w:t>keďže ekoinovácie a dizajn plastových výrobkov sú rozhodujúce pre európsku konkurencieschopnosť, pomáhajú priemyslu prispôsobiť sa tlaku vysokých cien zdrojov a nedostatku materiálov a rozvíjajú kľúčové podporné technológie pre trvalo udržateľnú spoločnosť;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noProof/>
          <w:szCs w:val="24"/>
        </w:rPr>
        <w:t>G.</w:t>
      </w:r>
      <w:r w:rsidRPr="00331E67">
        <w:rPr>
          <w:szCs w:val="24"/>
        </w:rPr>
        <w:tab/>
        <w:t xml:space="preserve">keďže pevné úsilie o posun prostredníctvom zvýšenia recyklácie k vyváženému, cyklickému hospodárstvu počas celého životného cyklu, založenému na koncepcii odpadu ako zdroja a efektívne využívajúcemu zdroje, by mohlo byť pre EÚ prínosom z hľadiska tvorby pracovných miest a rastu; keďže hospodársky potenciál recyklácie plastového odpadu je v súčasnosti oveľa vyšší než 33 % dosiahnutých pri odpade s obalov a 25 % celkového objemu plastového odpadu, a vysoká miera recyklácie môže pomôcť v prípade nedostatku surovín; </w:t>
      </w:r>
    </w:p>
    <w:p w:rsidR="00F876A7" w:rsidRPr="00331E67" w:rsidRDefault="00F876A7" w:rsidP="00F876A7">
      <w:pPr>
        <w:pStyle w:val="Hanging12"/>
        <w:rPr>
          <w:szCs w:val="24"/>
        </w:rPr>
      </w:pPr>
      <w:r w:rsidRPr="00331E67">
        <w:rPr>
          <w:noProof/>
          <w:szCs w:val="24"/>
        </w:rPr>
        <w:t>H.</w:t>
      </w:r>
      <w:r w:rsidRPr="00331E67">
        <w:rPr>
          <w:b/>
          <w:i/>
          <w:szCs w:val="24"/>
        </w:rPr>
        <w:tab/>
      </w:r>
      <w:r w:rsidRPr="00331E67">
        <w:rPr>
          <w:szCs w:val="24"/>
        </w:rPr>
        <w:t>keďže v odvetví plastov je v súčasnosti v EÚ zamestnaných približne 1,6 milióna ľudí;</w:t>
      </w:r>
    </w:p>
    <w:p w:rsidR="00F876A7" w:rsidRPr="00331E67" w:rsidRDefault="00F876A7" w:rsidP="00F876A7">
      <w:pPr>
        <w:pStyle w:val="Hanging12"/>
        <w:rPr>
          <w:szCs w:val="24"/>
        </w:rPr>
      </w:pPr>
      <w:r w:rsidRPr="00331E67">
        <w:rPr>
          <w:noProof/>
          <w:szCs w:val="24"/>
        </w:rPr>
        <w:t>I.</w:t>
      </w:r>
      <w:r w:rsidRPr="00331E67">
        <w:rPr>
          <w:szCs w:val="24"/>
        </w:rPr>
        <w:tab/>
        <w:t>keďže v stratégii Európa 2020 sa vyzýva na inteligentný, udržateľný a inkluzívny rast;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1.</w:t>
      </w:r>
      <w:r w:rsidRPr="00331E67">
        <w:rPr>
          <w:szCs w:val="24"/>
        </w:rPr>
        <w:tab/>
        <w:t>víta zelenú knihu Komisie a uznáva, že sú potrebné osobitné opatrenia v právnych predpisoch EÚ o plastovom odpade, ako aj jednotnejšie, súladnejšie a prísnejšie vykonávanie a presadzovanie existujúcich právnych predpisov týkajúcich sa odpadu, a to najmä v oblasti odpadovej hierarchie: predchádzanie vzniku odpadu, jeho opätovné použitie, recyklácia a zhodnocovanie, a najmä v tých členských štátoch, ktoré ešte nedosahujú existujúce ciele;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2.</w:t>
      </w:r>
      <w:r w:rsidRPr="00331E67">
        <w:rPr>
          <w:szCs w:val="24"/>
        </w:rPr>
        <w:tab/>
        <w:t xml:space="preserve">domnieva sa, že strategické plánovanie môže slúžiť ako začiatočný bod účinného odpadového hospodárstva; 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3.</w:t>
      </w:r>
      <w:r w:rsidRPr="00331E67">
        <w:rPr>
          <w:szCs w:val="24"/>
        </w:rPr>
        <w:tab/>
        <w:t>zdôrazňuje, že s cieľom zabezpečiť, aby bol prístup Európskej komisie k tokom odpadov a hospodárstvu s uzavretým cyklom jednotnejší v rámci prebiehajúcej legislatívnej kontroly vhodnosti a vzhľadom na to, že približne 40 % plastového odpadu pochádza z obalov a výrobkov na jedno použitie, pričom v smernici o obaloch sa ako v jedinej ustanovuje osobitný cieľ týkajúci sa zberu plastového odpadu, je naliehavo nevyhnutné prepracovať túto smernicu a navrhnúť predpisy o odpade presahujúce pravidlá a normy týkajúce sa výrobkov; preto sa domnieva, že v rámci prípravy svojich budúcich návrhov musí Komisia zohľadňovať to, že plastový odpad zväčšia netvoria homogénne materiály, ale že tento tok odpadu je v skutočnosti tvorený viacerými plastovými materiálmi, prídavnými látkami alebo zlúčeninami rôznej povahy, ktoré si vyžadujú rozdielne zaobchádzanie; konštatuje, plastové odpadové materiály používané ako obaly prispievajú k zachovaniu kvality výrobkov všetkých druhov a ku zvýšeniu ich trvanlivosti, nie sú vždy nutné na ochranu výrobku;</w:t>
      </w:r>
      <w:r w:rsidRPr="00331E67">
        <w:rPr>
          <w:b/>
          <w:i/>
          <w:szCs w:val="24"/>
        </w:rPr>
        <w:t xml:space="preserve"> </w:t>
      </w:r>
    </w:p>
    <w:p w:rsidR="00F876A7" w:rsidRPr="00E61B27" w:rsidRDefault="00F876A7" w:rsidP="00F876A7">
      <w:pPr>
        <w:tabs>
          <w:tab w:val="left" w:pos="426"/>
        </w:tabs>
        <w:ind w:left="357" w:hanging="357"/>
        <w:rPr>
          <w:szCs w:val="24"/>
          <w:lang w:val="sk-SK"/>
        </w:rPr>
      </w:pPr>
      <w:r w:rsidRPr="00E61B27">
        <w:rPr>
          <w:szCs w:val="24"/>
          <w:lang w:val="sk-SK"/>
        </w:rPr>
        <w:t>4.</w:t>
      </w:r>
      <w:r w:rsidRPr="00E61B27">
        <w:rPr>
          <w:szCs w:val="24"/>
          <w:lang w:val="sk-SK"/>
        </w:rPr>
        <w:tab/>
        <w:t>zdôrazňuje, že právne predpisy EÚ o plastovom odpade by sa mali v prvom rade zamerať na jeho redukciu, a preto by mali byť revidované s cieľom začleniť:</w:t>
      </w:r>
    </w:p>
    <w:p w:rsidR="00F876A7" w:rsidRPr="00E61B27" w:rsidRDefault="00F876A7" w:rsidP="00F876A7">
      <w:pPr>
        <w:spacing w:before="120" w:after="120"/>
        <w:ind w:left="714" w:hanging="357"/>
        <w:rPr>
          <w:szCs w:val="24"/>
          <w:lang w:val="sk-SK"/>
        </w:rPr>
      </w:pPr>
      <w:r w:rsidRPr="00E61B27">
        <w:rPr>
          <w:szCs w:val="24"/>
          <w:lang w:val="sk-SK"/>
        </w:rPr>
        <w:lastRenderedPageBreak/>
        <w:t>–</w:t>
      </w:r>
      <w:r w:rsidRPr="00E61B27">
        <w:rPr>
          <w:szCs w:val="24"/>
          <w:lang w:val="sk-SK"/>
        </w:rPr>
        <w:tab/>
        <w:t>konkrétne záväzné ciele týkajúce sa zberu, triedenia (ktoré by mohli dosiahnuť ambicióznych 80 %) a recyklácie rôznych tokov plastového odpadu (napr. OEEZ, vozidlá po dobe životnosti, obaly, poľnohospodársky odpad, stavebný odpad atď.) a povinné kritériá recyklovateľnosti (spresňujúce rozdiel medzi mechanickou/organickou recykláciou a zhodnotením/spaľovaním); zámerom by mal byť progresívny a ambiciózny cieľ recyklovaných plastov bez nebezpečných prídavných látok, ktoré sa už nesmú používať v nových výrobkoch, ktorý sa má dosiahnuť do roku 2020; niektoré členské štáty budú potrebovať prechodné obdobie na dosiahnutie cieľov určených na európskej úrovni;</w:t>
      </w:r>
    </w:p>
    <w:p w:rsidR="00F876A7" w:rsidRPr="00E61B27" w:rsidRDefault="00F876A7" w:rsidP="00F876A7">
      <w:pPr>
        <w:spacing w:before="120" w:after="120"/>
        <w:ind w:left="714" w:hanging="357"/>
        <w:rPr>
          <w:szCs w:val="24"/>
          <w:lang w:val="sk-SK"/>
        </w:rPr>
      </w:pPr>
      <w:r w:rsidRPr="00E61B27">
        <w:rPr>
          <w:szCs w:val="24"/>
          <w:lang w:val="sk-SK"/>
        </w:rPr>
        <w:t>–</w:t>
      </w:r>
      <w:r w:rsidRPr="00E61B27">
        <w:rPr>
          <w:szCs w:val="24"/>
          <w:lang w:val="sk-SK"/>
        </w:rPr>
        <w:tab/>
        <w:t>celoúniovú harmonizáciu kritérií zberu, triedenia a celkového odpadového hospodárstva s cieľom zavedenia spravodlivých podmienok hospodárskej súťaže v súlade s odpadovou hierarchiou vrátane odstránenia technických, regulačných, administratívnych a finančných prekážok recyklácie;</w:t>
      </w:r>
    </w:p>
    <w:p w:rsidR="00F876A7" w:rsidRPr="00E61B27" w:rsidRDefault="00F876A7" w:rsidP="00F876A7">
      <w:pPr>
        <w:spacing w:before="120" w:after="120"/>
        <w:ind w:left="714" w:hanging="357"/>
        <w:rPr>
          <w:szCs w:val="24"/>
          <w:lang w:val="sk-SK"/>
        </w:rPr>
      </w:pPr>
      <w:r w:rsidRPr="00E61B27">
        <w:rPr>
          <w:szCs w:val="24"/>
          <w:lang w:val="sk-SK"/>
        </w:rPr>
        <w:t>–</w:t>
      </w:r>
      <w:r w:rsidRPr="00E61B27">
        <w:rPr>
          <w:szCs w:val="24"/>
          <w:lang w:val="sk-SK"/>
        </w:rPr>
        <w:tab/>
        <w:t xml:space="preserve">osobitné označenie materiálov s cieľom poskytnúť spotrebiteľom informácie o ich mechanickej alebo organickej recyklovateľnosti spolu s tipmi pre spotrebiteľov na zvýšenie triedenia a recyklácie; ako aj </w:t>
      </w:r>
    </w:p>
    <w:p w:rsidR="00F876A7" w:rsidRPr="00E61B27" w:rsidRDefault="00F876A7" w:rsidP="00F876A7">
      <w:pPr>
        <w:spacing w:before="120" w:after="120"/>
        <w:ind w:left="714" w:hanging="357"/>
        <w:rPr>
          <w:szCs w:val="24"/>
          <w:lang w:val="sk-SK"/>
        </w:rPr>
      </w:pPr>
      <w:r w:rsidRPr="00E61B27">
        <w:rPr>
          <w:szCs w:val="24"/>
          <w:lang w:val="sk-SK"/>
        </w:rPr>
        <w:t>–</w:t>
      </w:r>
      <w:r w:rsidRPr="00E61B27">
        <w:rPr>
          <w:szCs w:val="24"/>
          <w:lang w:val="sk-SK"/>
        </w:rPr>
        <w:tab/>
        <w:t>kritériá nahradenia plastových výrobkov na jedno použitie a s krátkou životnosťou materiálmi na opakované použitie a s dlhšou životnosťou;</w:t>
      </w:r>
    </w:p>
    <w:p w:rsidR="00F876A7" w:rsidRPr="00331E67" w:rsidRDefault="00F876A7" w:rsidP="00F876A7">
      <w:pPr>
        <w:pStyle w:val="Hanging12"/>
        <w:rPr>
          <w:szCs w:val="24"/>
        </w:rPr>
      </w:pPr>
      <w:r w:rsidRPr="00331E67">
        <w:rPr>
          <w:szCs w:val="24"/>
        </w:rPr>
        <w:t>5.</w:t>
      </w:r>
      <w:r w:rsidRPr="00331E67">
        <w:rPr>
          <w:szCs w:val="24"/>
        </w:rPr>
        <w:tab/>
        <w:t xml:space="preserve">súhlasí, že s plastovým odpadom by sa malo zaobchádzať ako s cenným zdrojom a malo by sa podporovať jeho opakované použitie, recyklácia a iné spôsoby jeho zhodnotenia a umožniť vytvorenie vhodného trhového prostredia; vyzýva Komisiu, aby do roku 2014 predložila návrhy na postupné ukončenie skládkovania recyklovateľného a zhodnotiteľného odpadu do roku 2020, bez toho, aby však podporovala možnosť rekuperácie energie na úkor recyklácie, keďže kritériá ekologickej efektivity sa musia uplatňovať na všetky riešenia v oblasti likvidácie odpadu; domnieva sa, že spolu s týmito cieľmi týkajúcimi sa recyklácie je preto kľúčové zaviesť primerané opatrenia odrádzajúce od spaľovania recyklovateľných, kompostovateľných a biologicky rozložiteľných plastov s cieľom zoptimalizovať životný cyklus každého druhu plastu pri súčasnom rešpektovaní odpadovej hierarchie; zdôrazňuje, že týmto by sa takisto zmenil neudržateľný vývoj, v rámci ktorého sa doposiaľ zvýhodňovalo použitie nových výrobkov pred nákladnejšími recyklovanými výrobkami; zdôrazňuje, že už vo fáze návrhu výrobkov by sa mala zohľadňovať recyklovateľnosť a opraviteľnosť výrobkov; vyzýva preto Komisiu, aby navrhla opatrenia súvisiace s dizajnom, ktoré by zlepšili celkový vplyv výrobkov na životné prostredie, predchádzali nadmernému odpadu a podporovali trhy s recykláciou; domnieva sa, že plastové výrobky by sa mali navrhovať tak, aby sa maximalizovala ich trvanlivosť berúc do úvahy celý životný cyklus výrobku; v tomto smere sa domnieva, že Komisia musí v rámci nového právneho predpisu o plastovom odpade počítať s organizovaním väčšieho počtu inšpekcií pri ukladaní odpadu na skládku do roku 2020 a so zvýšením počtu kontrol v spaľovniach; </w:t>
      </w:r>
    </w:p>
    <w:p w:rsidR="00F876A7" w:rsidRPr="00E61B27" w:rsidRDefault="00F876A7" w:rsidP="00F876A7">
      <w:pPr>
        <w:pStyle w:val="Hanging12"/>
        <w:rPr>
          <w:szCs w:val="24"/>
        </w:rPr>
      </w:pPr>
      <w:r w:rsidRPr="00E61B27">
        <w:rPr>
          <w:szCs w:val="24"/>
        </w:rPr>
        <w:t>6.</w:t>
      </w:r>
      <w:r w:rsidRPr="00E61B27">
        <w:rPr>
          <w:szCs w:val="24"/>
        </w:rPr>
        <w:tab/>
        <w:t xml:space="preserve">žiada, aby sa k energetickému zhodnocovaniu plastového odpadu pristupovalo len v prípadoch, keď nemožno využiť akúkoľvek inú možnosť, a pod podmienkou využívania vhodných technológií čistenia, aby sa zabránilo poškodzovaniu životného prostredia a ľudského zdravia; 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7.</w:t>
      </w:r>
      <w:r w:rsidRPr="00331E67">
        <w:rPr>
          <w:szCs w:val="24"/>
        </w:rPr>
        <w:tab/>
        <w:t xml:space="preserve">domnieva sa, že najnebezpečnejšie plasty, teda tie, ktoré majú podľa vedeckých dôkazov najnepriaznivejší vplyv na ľudské zdravie a životné prostredie (ako sú mikroplasty a plasty rozkladajúce sa za pomoci oxidačných činidiel) a plasty obsahujúce ťažké kovy a iné látky, ktoré môžu takisto sťažiť proces recyklácie, by sa mali do roku 2020 čo najskôr prestať </w:t>
      </w:r>
      <w:r w:rsidRPr="00331E67">
        <w:rPr>
          <w:szCs w:val="24"/>
        </w:rPr>
        <w:lastRenderedPageBreak/>
        <w:t>umiestňovať na trh alebo úplne zakázať, aby sa rozvinul trh s opakovane použitými a recyklovanými materiálmi, domnieva sa, že ich separovaný zber by sa mal okamžite realizovať; v tomto rámci sa domnieva, že nahradzovanie nebezpečných plastových materiálov a prídavných látok by sa malo podporovať okrem iného rozšírením zoznamu obmedzovaných látok v RoHS; domnieva sa tiež, že ako požaduje väčšina európskych občanov a spotrebiteľov</w:t>
      </w:r>
      <w:r w:rsidRPr="00331E67">
        <w:rPr>
          <w:rStyle w:val="Odkaznapoznmkupodiarou"/>
          <w:szCs w:val="24"/>
        </w:rPr>
        <w:footnoteReference w:id="4"/>
      </w:r>
      <w:r w:rsidRPr="00331E67">
        <w:rPr>
          <w:szCs w:val="24"/>
        </w:rPr>
        <w:t>, malo by sa radikálne obmedziť a podľa možnosti postupne zrušiť použitie plastových tašiek na jedno použitie, a že je dôležité riešiť problematiku prevencie vzniku odpadu účinnejším riešením nadmernej spotreby a nezodpovednej likvidácie výrobkov na jedno použitie;</w:t>
      </w:r>
    </w:p>
    <w:p w:rsidR="00F876A7" w:rsidRPr="00E61B27" w:rsidRDefault="00F876A7" w:rsidP="00F876A7">
      <w:pPr>
        <w:pStyle w:val="Normal12Hanging"/>
        <w:rPr>
          <w:szCs w:val="24"/>
        </w:rPr>
      </w:pPr>
      <w:r w:rsidRPr="00E61B27">
        <w:rPr>
          <w:szCs w:val="24"/>
        </w:rPr>
        <w:t>8.</w:t>
      </w:r>
      <w:r w:rsidRPr="00E61B27">
        <w:rPr>
          <w:szCs w:val="24"/>
        </w:rPr>
        <w:tab/>
        <w:t>pripomína, že vo svete, v ktorom sú prírodné zdroje a plochy ornej pôdy čoraz vzácnejšie, dosahuje sa trvalosť znížením absolútnej hodnoty využívaných zdrojov a nie prostým nahradením niektorých z nich inými; zdôrazňuje, že by sa mali prijať primerané opatrenia na podporu biologicky rozložiteľných, biologických a kompostovateľných plastových výrobkov pod podmienkou, že ich výroba nebude mať negatívny vplyv na poľnohospodársky výstup pre ľudskú a živočíšnu spotrebu alebo na životné prostredie; zdôrazňuje tiež potrebu stavať na normách, ktoré sa na úrovni EÚ už uznávajú (t.j. CEN 13432), aby sa mohlo lepšie rozlišovať medzi rozložiteľnými plastovými výrobkami, biologicky rozložiteľnými plastovými výrobkami a kompostovateľnými plastovými výrobkami spolu s poskytovaním jasnejších informácií o ich vlastnostiach, recyklovateľnosti a potenciáli opätovného využitia spotrebiteľom, ako aj recyklovačom a subjektom v odpadovom hospodárstve;</w:t>
      </w:r>
      <w:r w:rsidRPr="00E61B27">
        <w:rPr>
          <w:b/>
          <w:i/>
          <w:szCs w:val="24"/>
        </w:rPr>
        <w:t xml:space="preserve"> 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9.</w:t>
      </w:r>
      <w:r w:rsidRPr="00331E67">
        <w:rPr>
          <w:szCs w:val="24"/>
        </w:rPr>
        <w:tab/>
        <w:t>požaduje viac verejných i súkromných investícií do výskumu a technológií zameraných na získanie trvalo udržateľnejších plastov (t. j. menšia spotreba surovín pri zachovaní rovnakej kvality, opätovnej použiteľnosti a recyklovateľnosti) a lepšie začlenenie rozličných druhov do výrobného procesu a činností ďalšieho spracovania, bez vplyvu na kvalitu materiálov; domnieva sa, že pre lepšie procesy biologického rozloženia, metódy triedenia odpadu, spracovania, mechanickú recykláciu, odoberania plastov z oceánov, ekodizajn a inteligentné balenie sú potrebné nové technológie; domnieva sa v tejto súvislosti, že program Horizont 2020 by mohol poskytnúť príležitosti reagovať na túto dôležitú spoločenskú potrebu a že výhody by boli ďalekosiahle tak pre životné prostredie, ako aj pre občanov, od vytvorenia nových hospodárskych činností (napríklad triedenie s vysokým štandardom vykonávané ľudskou pracovnou silou) k obmedzeniu odpadu znečisťujúceho more a rizík súvisiacich so zdravím; zdôrazňuje, že toto môže najmä mladým ľuďom ponúknuť možnosť účasti v nových oblastiach činnosti a teda integrácie na trh práce; upozorňuje, že ak by sa v plnej miere vykonávali právne predpisy EÚ o odpade, mohli by vzniknúť úspory vo výške 72 miliárd EUR ročne, ročný obrat odvetvia odpadového hospodárstva a odvetvia recyklácie EÚ by sa zvýšil o 42 miliárd EUR a do roku 2020 by sa vytvorilo viac ako 400 000 pracovných miest; zdôrazňuje, že iné prostriedky EÚ by mohli výrazne prispieť k zavedeniu infraštruktúry zberu a recyklácie odpadu, ak sa bude dodržiavať odpadová hierarchie podľa rámcovej smernice o odpade;</w:t>
      </w:r>
    </w:p>
    <w:p w:rsidR="00F876A7" w:rsidRPr="00E61B27" w:rsidRDefault="00F876A7" w:rsidP="00F876A7">
      <w:pPr>
        <w:pStyle w:val="Normal12Hanging"/>
        <w:rPr>
          <w:szCs w:val="24"/>
        </w:rPr>
      </w:pPr>
      <w:r w:rsidRPr="00E61B27">
        <w:rPr>
          <w:szCs w:val="24"/>
        </w:rPr>
        <w:t>10.</w:t>
      </w:r>
      <w:r w:rsidRPr="00E61B27">
        <w:rPr>
          <w:szCs w:val="24"/>
        </w:rPr>
        <w:tab/>
        <w:t xml:space="preserve">preto požaduje opatrenia, ktoré nabádajú k recyklácii plastu ako najlepšej možnosti plnenia </w:t>
      </w:r>
      <w:r w:rsidRPr="00E61B27">
        <w:rPr>
          <w:szCs w:val="24"/>
        </w:rPr>
        <w:lastRenderedPageBreak/>
        <w:t>environmentálnych cieľov; žiada, aby viac postupov verejného obstarávania, a to aj v prípade európskych inštitúcií, zahŕňalo jasné požiadavky v oblasti recyklácie plastového odpadu, ako aj uprednostňovania používania recyklovaných plastov tam, kde je to možné;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11.</w:t>
      </w:r>
      <w:r w:rsidRPr="00331E67">
        <w:rPr>
          <w:szCs w:val="24"/>
        </w:rPr>
        <w:tab/>
        <w:t xml:space="preserve">domnieva sa, že členské štáty aj Komisia musia prijať odvážnejšie opatrenia na riešenie nezákonného vývozu plastového odpadu vrátane prísnejšieho presadzovania nariadení EÚ o preprave odpadu, ako aj prísnejších systémov monitorovania a kontrol v prístavoch a všetkých zariadeniach na spracovanie odpadu, zameraných na podozrivé nezákonné prevody a boj proti vývozu odpadu na opakované použitie (najmä vozidlá na konci životnosti a OEEZ), a zabezpečenie, aby vývoz smeroval len do zariadení spĺňajúcich požiadavky na nakladanie spôsobom prijateľným z hľadiska životného prostredia, ako sú uvedené v článku 49 nariadenia o preprave odpadu; poznamenáva, že pri predchádzaní nezákonnému vývozu a podstatnom znižovaní plastového obalu v životnom prostredí musí zohrávať úlohu uplatňovanie zásady rozšírenej zodpovednosti výrobcu, ako aj informovanosť spotrebiteľov; domnieva sa okrem toho, že EÚ by mala vo všetkých možných medzinárodných fórach, dohodách a inštitúciách presadzovať jednotný prístup k odpadovému hospodárstvu; zdôrazňuje, že EÚ by mala viesť celosvetovú iniciatívu na monitorovanie a výrazné zníženie množstva morského odpadu v oceánoch; takisto považuje za dôležité zabezpečiť prístup k spoľahlivým a porovnateľným údajom o tokoch odpadu, tokoch prichádzajúcich a odchádzajúcich z Európy, objemoch a systémoch hospodárenia; </w:t>
      </w:r>
    </w:p>
    <w:p w:rsidR="00F876A7" w:rsidRPr="00331E67" w:rsidRDefault="00F876A7" w:rsidP="00F876A7">
      <w:pPr>
        <w:pStyle w:val="Normal12Hanging"/>
        <w:rPr>
          <w:szCs w:val="24"/>
        </w:rPr>
      </w:pPr>
      <w:r w:rsidRPr="00331E67">
        <w:rPr>
          <w:szCs w:val="24"/>
        </w:rPr>
        <w:t>12.</w:t>
      </w:r>
      <w:r w:rsidRPr="00331E67">
        <w:rPr>
          <w:szCs w:val="24"/>
        </w:rPr>
        <w:tab/>
        <w:t>domnieva sa, že financovanie infraštruktúry recyklácie by malo mať prednosť pred financovaním ukladania odpadu na skládky a spaľovania odpadu, pričom je samozrejme nutné zohľadňovať potreby každého spoločenstva; nabáda európske obce a miestne samosprávy, odvetvie plastov a odvetvie recyklácie a odpadového hospodárstva, aby vyvinuli maximálne úsilie s cieľom motivovať občanov, aby v súvislosti s plastovým odpadom prijali koncepciu cyklického hospodárstva, počnúc širokou diskusiou o plánovanom zastarávaní, pričom podporia účinné systémy zberu a recyklácie a vytvoria primeranú infraštruktúru recyklácie ako zberné miesta pre plastový odpad, najmä v pobrežných a environmentálne zraniteľných oblastiach, počnúc oblasťami označenými členskými štátmi Únie ako chránené oblasti a/alebo národné parky; takisto sa domnieva, že by mohli značne prispieť k zosúladeniu činností v oblasti odpadového hospodárstva v Európe prostredníctvom dohody o spoločných normách a postupoch; vyzýva regionálne orgány, aby spolupracovali na integrovanom plánovaní odpadového hospodárstva, ak je rentabilné z hospodárskeho aj environmentálneho hľadiska, a podporovali najmä zriadenie poľnohospodárskych zberných centier pre toky plastového odpadu (t. j. plasty zo skleníkov);</w:t>
      </w:r>
    </w:p>
    <w:p w:rsidR="00F876A7" w:rsidRPr="00331E67" w:rsidRDefault="00F876A7" w:rsidP="00F876A7">
      <w:pPr>
        <w:pStyle w:val="Hanging12"/>
        <w:tabs>
          <w:tab w:val="clear" w:pos="357"/>
        </w:tabs>
        <w:ind w:left="426" w:hanging="426"/>
        <w:rPr>
          <w:szCs w:val="24"/>
        </w:rPr>
      </w:pPr>
      <w:r w:rsidRPr="00331E67">
        <w:rPr>
          <w:szCs w:val="24"/>
        </w:rPr>
        <w:t>13.</w:t>
      </w:r>
      <w:r w:rsidRPr="00331E67">
        <w:rPr>
          <w:szCs w:val="24"/>
        </w:rPr>
        <w:tab/>
        <w:t xml:space="preserve">podporuje s cieľom posilnenia zvyšovania informovanosti konkrétne činnosti a kampane, ako napríklad zavedenie európskeho dňa plastového odpadu, v rámci ktorého by občania mohli napríklad za primeranú peňažnú odmenu vrátiť akýkoľvek objem plastového odpadu na vopred určené miesta, ako prostriedok na zabezpečenie dodávok recyklovateľných plastov a zvýšenie informovanosti verejnosti o recyklácii a efektívnom využívaní zdrojov; domnieva sa, že v rámci tejto udalosti by sa mohli napr. čistiť pláže ako symbolický príspevok k politike obmedzovania znečisťovania pobrežia plastovým odpadom; vyzýva na súčinnosť takýchto udalostí s kampaňami „Let’s do it“, európskym týždňom znižovania tvorby odpadu a budúceho dňa čistenia; víta pilotný projekt Európskej komisie MARELITT na odstránenie morského odpadu zo štyroch regionálnych morí Európy a na zníženie vplyvov morského plastového odpadu na životné prostredie, zdravie, hospodárstvo a v sociálnej oblasti; navrhuje, aby Komisia zintenzívnila dialóg s tretími </w:t>
      </w:r>
      <w:r w:rsidRPr="00331E67">
        <w:rPr>
          <w:szCs w:val="24"/>
        </w:rPr>
        <w:lastRenderedPageBreak/>
        <w:t>krajinami, ako sú krajiny s teritoriálnymi vodami v Čiernom mori, s cieľom riešiť problém morského plastového odpadu účinnejšie;</w:t>
      </w:r>
    </w:p>
    <w:p w:rsidR="00F876A7" w:rsidRPr="00331E67" w:rsidRDefault="00F876A7" w:rsidP="00F876A7">
      <w:pPr>
        <w:pStyle w:val="Hanging12"/>
        <w:tabs>
          <w:tab w:val="clear" w:pos="357"/>
        </w:tabs>
        <w:ind w:left="426" w:hanging="426"/>
        <w:rPr>
          <w:szCs w:val="24"/>
        </w:rPr>
      </w:pPr>
      <w:r w:rsidRPr="00331E67">
        <w:rPr>
          <w:szCs w:val="24"/>
        </w:rPr>
        <w:t>14.</w:t>
      </w:r>
      <w:r w:rsidRPr="00331E67">
        <w:rPr>
          <w:szCs w:val="24"/>
        </w:rPr>
        <w:tab/>
        <w:t>zdôrazňuje, že novým iniciatívam na úrovni EÚ v oblasti environmentálnej politiky, ekologických inovácií, odpadového hospodárstva a biohospodárstva by mali predchádzať spoľahlivé posúdenia vplyvu – zamerané aj na sociálne dôsledky týchto iniciatív a príležitosti v oblasti pracovného trhu – ktoré by sa mali predovšetkým zameriavať na potenciál vytvárania pracovných miest a potrebu zaviesť počiatočnú a trvalú odbornú prípravu v záujme vytvárania ekologických pracovných miest;</w:t>
      </w:r>
    </w:p>
    <w:p w:rsidR="00F876A7" w:rsidRPr="00331E67" w:rsidRDefault="00F876A7" w:rsidP="00F876A7">
      <w:pPr>
        <w:pStyle w:val="Hanging12"/>
        <w:tabs>
          <w:tab w:val="clear" w:pos="357"/>
        </w:tabs>
        <w:ind w:left="426" w:hanging="426"/>
        <w:rPr>
          <w:szCs w:val="24"/>
        </w:rPr>
      </w:pPr>
      <w:r w:rsidRPr="00331E67">
        <w:rPr>
          <w:szCs w:val="24"/>
        </w:rPr>
        <w:t>15.</w:t>
      </w:r>
      <w:r w:rsidRPr="00331E67">
        <w:rPr>
          <w:szCs w:val="24"/>
        </w:rPr>
        <w:tab/>
        <w:t>pripomína, že členské štáty by mali pri zosúlaďovaní hospodárskych a environmentálnych otázok podporovať iniciatívy, ktoré uľahčujú rozvoj odvetví s najvyšším potenciálom dôstojnej práce a ktoré predovšetkým pomáhajú pri prechode na udržateľné hospodárstvo a vytváraní udržateľných kvalitných pracovných miest v hospodárstve, ktoré je menej náročné na zdroje, v súlade so stratégiou Európa 2020; vyzýva miestne a regionálny orgány, aby v záujme splnenia viacnásobných cieľov a podpory ekologických pracovných miest v rámci tohto procesu zladili poskytovanie verejných služieb s environmentálnymi cieľmi;</w:t>
      </w:r>
    </w:p>
    <w:p w:rsidR="00F876A7" w:rsidRPr="00331E67" w:rsidRDefault="00F876A7" w:rsidP="00F876A7">
      <w:pPr>
        <w:pStyle w:val="Hanging12"/>
        <w:rPr>
          <w:szCs w:val="24"/>
        </w:rPr>
      </w:pPr>
      <w:r w:rsidRPr="00331E67">
        <w:rPr>
          <w:szCs w:val="24"/>
        </w:rPr>
        <w:t>16.</w:t>
      </w:r>
      <w:r w:rsidRPr="00331E67">
        <w:rPr>
          <w:szCs w:val="24"/>
        </w:rPr>
        <w:tab/>
        <w:t>považuje za prioritu, aby sa určili budúce potreby pracovného trhu a potreby v oblasti zručností; zdôrazňuje, že je potrebné zaviesť stratégie na to, aby zručnosti pracovníkov zodpovedali budúcim potrebám pracovného trhu; zdôrazňuje v tejto súvislosti skutočnosť, že na riešenie výziev, ktoré prináša prechod na hospodárstvo, ktoré je menej náročné na zdroje, je potrebná primeraná úroveň odbornej prípravy a zručností, aby sa úspešne rozvíjali ekologické inovácie a správne vykonávali právne predpisy EÚ o odpade; odporúča členským štátom, aby do svojich systémov odbornej prípravy začlenili model cyklického hospodárstva; poznamenáva, že odborná príprava môže zlepšiť vnímanie práce v oblasti recyklácie a môže prispieť k udržaniu personálu a k zlepšeniu postupov v oblasti ochrany zdravia a práce; v tejto súvislosti pripomína, že na základe podpory odborného a praktického vzdelávania môže Európsky sociálny fond pomôcť uspokojiť dopyt po udržateľných kvalitných pracovných miestach v rámci hospodárstva menej náročného na zdroje v súlade s balíkom o sociálnych investíciách, ktorý Komisia predložila vo februári 2013.</w:t>
      </w:r>
    </w:p>
    <w:p w:rsidR="00F876A7" w:rsidRPr="00E61B27" w:rsidRDefault="00F876A7" w:rsidP="00F876A7">
      <w:pPr>
        <w:pStyle w:val="Normal12Hanging"/>
      </w:pPr>
      <w:r w:rsidRPr="00331E67">
        <w:t>17.</w:t>
      </w:r>
      <w:r w:rsidRPr="00331E67">
        <w:tab/>
      </w:r>
      <w:r w:rsidRPr="00331E67">
        <w:rPr>
          <w:noProof/>
        </w:rPr>
        <w:t>poveruje svojho predsedu, aby postúpil toto uznesenie Rade a Komisii.</w:t>
      </w:r>
    </w:p>
    <w:p w:rsidR="00F876A7" w:rsidRPr="00E61B27" w:rsidRDefault="00F876A7" w:rsidP="00F876A7">
      <w:pPr>
        <w:rPr>
          <w:lang w:val="sk-SK"/>
        </w:rPr>
      </w:pPr>
    </w:p>
    <w:p w:rsidR="00F876A7" w:rsidRDefault="00F876A7" w:rsidP="00F876A7">
      <w:pPr>
        <w:rPr>
          <w:noProof w:val="0"/>
          <w:lang w:val="sk-SK"/>
        </w:rPr>
        <w:sectPr w:rsidR="00F876A7" w:rsidSect="00A5056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7" w:h="16840" w:code="9"/>
          <w:pgMar w:top="1134" w:right="1247" w:bottom="1814" w:left="1418" w:header="720" w:footer="0" w:gutter="0"/>
          <w:cols w:space="720"/>
        </w:sectPr>
      </w:pPr>
    </w:p>
    <w:p w:rsidR="001E32DB" w:rsidRDefault="001E32DB"/>
    <w:sectPr w:rsidR="001E32DB" w:rsidSect="001E3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19" w:rsidRDefault="00432B19" w:rsidP="00F876A7">
      <w:r>
        <w:separator/>
      </w:r>
    </w:p>
  </w:endnote>
  <w:endnote w:type="continuationSeparator" w:id="0">
    <w:p w:rsidR="00432B19" w:rsidRDefault="00432B19" w:rsidP="00F8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7" w:rsidRPr="00A50564" w:rsidRDefault="00F876A7" w:rsidP="00A50564">
    <w:pPr>
      <w:pStyle w:val="Pta"/>
      <w:pBdr>
        <w:top w:val="none" w:sz="0" w:space="0" w:color="auto"/>
      </w:pBdr>
      <w:spacing w:after="480"/>
      <w:jc w:val="center"/>
    </w:pPr>
    <w:fldSimple w:instr=" PAGE  \* MERGEFORMAT ">
      <w:r>
        <w:t>278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7" w:rsidRPr="00A50564" w:rsidRDefault="00F876A7" w:rsidP="00A50564">
    <w:pPr>
      <w:pStyle w:val="Pta"/>
      <w:pBdr>
        <w:top w:val="none" w:sz="0" w:space="0" w:color="auto"/>
      </w:pBdr>
      <w:spacing w:after="480"/>
      <w:jc w:val="center"/>
    </w:pPr>
    <w:fldSimple w:instr=" PAGE  \* MERGEFORMAT ">
      <w:r>
        <w:t>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7" w:rsidRDefault="00F876A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19" w:rsidRDefault="00432B19" w:rsidP="00F876A7">
      <w:r>
        <w:separator/>
      </w:r>
    </w:p>
  </w:footnote>
  <w:footnote w:type="continuationSeparator" w:id="0">
    <w:p w:rsidR="00432B19" w:rsidRDefault="00432B19" w:rsidP="00F876A7">
      <w:r>
        <w:continuationSeparator/>
      </w:r>
    </w:p>
  </w:footnote>
  <w:footnote w:id="1">
    <w:p w:rsidR="00F876A7" w:rsidRPr="00E61B27" w:rsidRDefault="00F876A7" w:rsidP="00F876A7">
      <w:pPr>
        <w:pStyle w:val="Textpoznmkypodiarou"/>
        <w:rPr>
          <w:lang w:val="pt-PT"/>
        </w:rPr>
      </w:pPr>
      <w:r w:rsidRPr="00CE7CD6">
        <w:rPr>
          <w:rStyle w:val="Odkaznapoznmkupodiarou"/>
        </w:rPr>
        <w:footnoteRef/>
      </w:r>
      <w:r w:rsidRPr="00E61B27">
        <w:rPr>
          <w:lang w:val="pt-PT"/>
        </w:rPr>
        <w:t xml:space="preserve"> </w:t>
      </w:r>
      <w:r>
        <w:rPr>
          <w:lang w:val="pt-PT"/>
        </w:rPr>
        <w:tab/>
      </w:r>
      <w:r w:rsidRPr="00E61B27">
        <w:rPr>
          <w:lang w:val="pt-PT"/>
        </w:rPr>
        <w:t>Ú. v. EÚ C 51 E, 22.2.2013, s. 21.</w:t>
      </w:r>
    </w:p>
  </w:footnote>
  <w:footnote w:id="2">
    <w:p w:rsidR="00F876A7" w:rsidRPr="00E61B27" w:rsidRDefault="00F876A7" w:rsidP="00F876A7">
      <w:pPr>
        <w:pStyle w:val="Textpoznmkypodiarou"/>
        <w:rPr>
          <w:lang w:val="pt-PT"/>
        </w:rPr>
      </w:pPr>
      <w:r w:rsidRPr="00CE7CD6">
        <w:rPr>
          <w:rStyle w:val="Odkaznapoznmkupodiarou"/>
        </w:rPr>
        <w:footnoteRef/>
      </w:r>
      <w:r w:rsidRPr="00E61B27">
        <w:rPr>
          <w:lang w:val="pt-PT"/>
        </w:rPr>
        <w:t xml:space="preserve"> </w:t>
      </w:r>
      <w:r>
        <w:rPr>
          <w:lang w:val="pt-PT"/>
        </w:rPr>
        <w:tab/>
        <w:t>Ú. v. EÚ C 264 E, 13.9.2013, s. 59.</w:t>
      </w:r>
    </w:p>
  </w:footnote>
  <w:footnote w:id="3">
    <w:p w:rsidR="00F876A7" w:rsidRPr="00E61B27" w:rsidRDefault="00F876A7" w:rsidP="00F876A7">
      <w:pPr>
        <w:pStyle w:val="Textpoznmkypodiarou"/>
        <w:rPr>
          <w:lang w:val="pt-PT"/>
        </w:rPr>
      </w:pPr>
      <w:r w:rsidRPr="00CE7CD6">
        <w:rPr>
          <w:rStyle w:val="Odkaznapoznmkupodiarou"/>
        </w:rPr>
        <w:footnoteRef/>
      </w:r>
      <w:r w:rsidRPr="00E61B27">
        <w:rPr>
          <w:lang w:val="pt-PT"/>
        </w:rPr>
        <w:t xml:space="preserve"> </w:t>
      </w:r>
      <w:r>
        <w:rPr>
          <w:lang w:val="pt-PT"/>
        </w:rPr>
        <w:tab/>
      </w:r>
      <w:r w:rsidRPr="00AE6ED7">
        <w:rPr>
          <w:lang w:val="pt-PT"/>
        </w:rPr>
        <w:t>Ú. v. EÚ C 2</w:t>
      </w:r>
      <w:r>
        <w:rPr>
          <w:lang w:val="pt-PT"/>
        </w:rPr>
        <w:t>58</w:t>
      </w:r>
      <w:r w:rsidRPr="00AE6ED7">
        <w:rPr>
          <w:lang w:val="pt-PT"/>
        </w:rPr>
        <w:t xml:space="preserve"> E, </w:t>
      </w:r>
      <w:r>
        <w:rPr>
          <w:lang w:val="pt-PT"/>
        </w:rPr>
        <w:t>7</w:t>
      </w:r>
      <w:r w:rsidRPr="00AE6ED7">
        <w:rPr>
          <w:lang w:val="pt-PT"/>
        </w:rPr>
        <w:t xml:space="preserve">.9.2013, s. </w:t>
      </w:r>
      <w:r>
        <w:rPr>
          <w:lang w:val="pt-PT"/>
        </w:rPr>
        <w:t>9</w:t>
      </w:r>
      <w:r w:rsidRPr="00AE6ED7">
        <w:rPr>
          <w:lang w:val="pt-PT"/>
        </w:rPr>
        <w:t>9</w:t>
      </w:r>
      <w:r>
        <w:rPr>
          <w:lang w:val="pt-PT"/>
        </w:rPr>
        <w:t>.</w:t>
      </w:r>
    </w:p>
  </w:footnote>
  <w:footnote w:id="4">
    <w:p w:rsidR="00F876A7" w:rsidRPr="00E61B27" w:rsidRDefault="00F876A7" w:rsidP="00F876A7">
      <w:pPr>
        <w:ind w:left="480" w:hanging="480"/>
        <w:rPr>
          <w:szCs w:val="24"/>
          <w:lang w:val="pt-PT"/>
        </w:rPr>
      </w:pPr>
      <w:r w:rsidRPr="00CE7CD6">
        <w:rPr>
          <w:rStyle w:val="Odkaznapoznmkupodiarou"/>
          <w:szCs w:val="24"/>
        </w:rPr>
        <w:footnoteRef/>
      </w:r>
      <w:r w:rsidRPr="00E61B27">
        <w:rPr>
          <w:szCs w:val="24"/>
          <w:lang w:val="pt-PT"/>
        </w:rPr>
        <w:t xml:space="preserve"> </w:t>
      </w:r>
      <w:r>
        <w:rPr>
          <w:szCs w:val="24"/>
          <w:lang w:val="pt-PT"/>
        </w:rPr>
        <w:tab/>
      </w:r>
      <w:r w:rsidRPr="00E61B27">
        <w:rPr>
          <w:szCs w:val="24"/>
          <w:lang w:val="pt-PT"/>
        </w:rPr>
        <w:t xml:space="preserve">Konzultácia o možnostiach obmedzenia používania plastových tašiek a možnostiach zlepšenia požiadaviek biologickej rozložiteľnosti v smernici 94/62/ES  o obaloch a odpadoch z obalov a viditeľnosti biologicky rozložiteľných obalových výrobkov pre spotrebiteľov – štatistika: </w:t>
      </w:r>
      <w:r w:rsidRPr="00E61B27">
        <w:rPr>
          <w:szCs w:val="24"/>
          <w:lang w:val="pt-PT"/>
        </w:rPr>
        <w:br/>
      </w:r>
      <w:hyperlink r:id="rId1" w:history="1">
        <w:r w:rsidRPr="00E61B27">
          <w:rPr>
            <w:rStyle w:val="Hypertextovprepojenie"/>
            <w:szCs w:val="24"/>
            <w:lang w:val="pt-PT"/>
          </w:rPr>
          <w:t>http://ec.europa.eu/environment/waste/packaging/pdf/statistics_consultation.xls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7" w:rsidRDefault="00F876A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7" w:rsidRDefault="00F876A7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6A7" w:rsidRDefault="00F876A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76A7"/>
    <w:rsid w:val="000F6CB0"/>
    <w:rsid w:val="0013022B"/>
    <w:rsid w:val="00170903"/>
    <w:rsid w:val="001A647C"/>
    <w:rsid w:val="001E32DB"/>
    <w:rsid w:val="00432B19"/>
    <w:rsid w:val="005A3EEE"/>
    <w:rsid w:val="0067552C"/>
    <w:rsid w:val="007D669F"/>
    <w:rsid w:val="008F41A7"/>
    <w:rsid w:val="00946170"/>
    <w:rsid w:val="009E5D73"/>
    <w:rsid w:val="00DE3B37"/>
    <w:rsid w:val="00E0132F"/>
    <w:rsid w:val="00EB2D6B"/>
    <w:rsid w:val="00F8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76A7"/>
    <w:pPr>
      <w:spacing w:after="0" w:line="240" w:lineRule="auto"/>
    </w:pPr>
    <w:rPr>
      <w:rFonts w:ascii="Times New Roman" w:eastAsia="Times New Roman" w:hAnsi="Times New Roman"/>
      <w:noProof/>
      <w:sz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-E Fußnotenzeichen,number,SUPERS,Footnote reference number,Footnote symbol,note TESI,stylish,ftref,Footnote text,Footnote,Times 10 Point,Exposant 3 Point,EN Footnote Reference,Footnote Reference/,Footnote Reference Number"/>
    <w:rsid w:val="00F876A7"/>
    <w:rPr>
      <w:vertAlign w:val="superscript"/>
    </w:rPr>
  </w:style>
  <w:style w:type="paragraph" w:customStyle="1" w:styleId="ATHeading1">
    <w:name w:val="AT Heading 1"/>
    <w:basedOn w:val="Normlny"/>
    <w:next w:val="Normlny"/>
    <w:rsid w:val="00F876A7"/>
    <w:pPr>
      <w:keepNext/>
      <w:keepLines/>
      <w:spacing w:after="120"/>
      <w:outlineLvl w:val="0"/>
    </w:pPr>
    <w:rPr>
      <w:b/>
      <w:sz w:val="28"/>
    </w:rPr>
  </w:style>
  <w:style w:type="paragraph" w:customStyle="1" w:styleId="ATHeading2">
    <w:name w:val="AT Heading 2"/>
    <w:basedOn w:val="Normlny"/>
    <w:next w:val="Normlny"/>
    <w:rsid w:val="00F876A7"/>
    <w:pPr>
      <w:spacing w:before="120" w:after="120"/>
      <w:outlineLvl w:val="1"/>
    </w:pPr>
    <w:rPr>
      <w:b/>
      <w:sz w:val="28"/>
    </w:rPr>
  </w:style>
  <w:style w:type="paragraph" w:customStyle="1" w:styleId="ATHeading3">
    <w:name w:val="AT Heading 3"/>
    <w:basedOn w:val="Normlny"/>
    <w:next w:val="Normlny"/>
    <w:rsid w:val="00F876A7"/>
    <w:pPr>
      <w:keepNext/>
      <w:keepLines/>
      <w:spacing w:before="120" w:after="120"/>
      <w:outlineLvl w:val="2"/>
    </w:pPr>
    <w:rPr>
      <w:b/>
    </w:rPr>
  </w:style>
  <w:style w:type="paragraph" w:styleId="Pta">
    <w:name w:val="footer"/>
    <w:basedOn w:val="Normlny"/>
    <w:link w:val="PtaChar"/>
    <w:rsid w:val="00F876A7"/>
    <w:pPr>
      <w:pBdr>
        <w:top w:val="single" w:sz="4" w:space="1" w:color="auto"/>
      </w:pBdr>
      <w:tabs>
        <w:tab w:val="right" w:pos="9214"/>
      </w:tabs>
    </w:pPr>
    <w:rPr>
      <w:sz w:val="20"/>
    </w:rPr>
  </w:style>
  <w:style w:type="character" w:customStyle="1" w:styleId="PtaChar">
    <w:name w:val="Päta Char"/>
    <w:basedOn w:val="Predvolenpsmoodseku"/>
    <w:link w:val="Pta"/>
    <w:rsid w:val="00F876A7"/>
    <w:rPr>
      <w:rFonts w:ascii="Times New Roman" w:eastAsia="Times New Roman" w:hAnsi="Times New Roman"/>
      <w:noProof/>
      <w:lang w:val="en-GB" w:eastAsia="en-GB"/>
    </w:rPr>
  </w:style>
  <w:style w:type="paragraph" w:styleId="Hlavika">
    <w:name w:val="header"/>
    <w:basedOn w:val="Normlny"/>
    <w:link w:val="HlavikaChar"/>
    <w:rsid w:val="00F876A7"/>
    <w:rPr>
      <w:b/>
    </w:rPr>
  </w:style>
  <w:style w:type="character" w:customStyle="1" w:styleId="HlavikaChar">
    <w:name w:val="Hlavička Char"/>
    <w:basedOn w:val="Predvolenpsmoodseku"/>
    <w:link w:val="Hlavika"/>
    <w:rsid w:val="00F876A7"/>
    <w:rPr>
      <w:rFonts w:ascii="Times New Roman" w:eastAsia="Times New Roman" w:hAnsi="Times New Roman"/>
      <w:b/>
      <w:noProof/>
      <w:sz w:val="24"/>
      <w:lang w:val="en-GB" w:eastAsia="en-GB"/>
    </w:rPr>
  </w:style>
  <w:style w:type="paragraph" w:styleId="Textpoznmkypodiarou">
    <w:name w:val="footnote text"/>
    <w:basedOn w:val="Normlny"/>
    <w:link w:val="TextpoznmkypodiarouChar"/>
    <w:rsid w:val="00F876A7"/>
    <w:pPr>
      <w:keepLines/>
      <w:spacing w:line="260" w:lineRule="exact"/>
      <w:ind w:left="510" w:hanging="510"/>
    </w:pPr>
    <w:rPr>
      <w:sz w:val="22"/>
    </w:rPr>
  </w:style>
  <w:style w:type="character" w:customStyle="1" w:styleId="TextpoznmkypodiarouChar">
    <w:name w:val="Text poznámky pod čiarou Char"/>
    <w:basedOn w:val="Predvolenpsmoodseku"/>
    <w:link w:val="Textpoznmkypodiarou"/>
    <w:rsid w:val="00F876A7"/>
    <w:rPr>
      <w:rFonts w:ascii="Times New Roman" w:eastAsia="Times New Roman" w:hAnsi="Times New Roman"/>
      <w:noProof/>
      <w:sz w:val="22"/>
      <w:lang w:val="en-GB" w:eastAsia="en-GB"/>
    </w:rPr>
  </w:style>
  <w:style w:type="paragraph" w:customStyle="1" w:styleId="Normal12Hanging">
    <w:name w:val="Normal12Hanging"/>
    <w:basedOn w:val="Normlny"/>
    <w:link w:val="WfPopupChar"/>
    <w:rsid w:val="00F876A7"/>
    <w:pPr>
      <w:widowControl w:val="0"/>
      <w:spacing w:after="240"/>
      <w:ind w:left="357" w:hanging="357"/>
    </w:pPr>
    <w:rPr>
      <w:noProof w:val="0"/>
      <w:lang w:val="sk-SK"/>
    </w:rPr>
  </w:style>
  <w:style w:type="character" w:styleId="Hypertextovprepojenie">
    <w:name w:val="Hyperlink"/>
    <w:unhideWhenUsed/>
    <w:rsid w:val="00F876A7"/>
    <w:rPr>
      <w:rFonts w:ascii="Times New Roman" w:hAnsi="Times New Roman" w:cs="Times New Roman" w:hint="default"/>
      <w:color w:val="0000FF"/>
      <w:u w:val="single"/>
    </w:rPr>
  </w:style>
  <w:style w:type="character" w:customStyle="1" w:styleId="WfPopupChar">
    <w:name w:val="WfPopup Char"/>
    <w:link w:val="Normal12Hanging"/>
    <w:locked/>
    <w:rsid w:val="00F876A7"/>
    <w:rPr>
      <w:rFonts w:ascii="Times New Roman" w:eastAsia="Times New Roman" w:hAnsi="Times New Roman"/>
      <w:sz w:val="24"/>
      <w:lang w:eastAsia="en-GB"/>
    </w:rPr>
  </w:style>
  <w:style w:type="paragraph" w:customStyle="1" w:styleId="Hanging12">
    <w:name w:val="Hanging12"/>
    <w:basedOn w:val="Normlny"/>
    <w:rsid w:val="00F876A7"/>
    <w:pPr>
      <w:widowControl w:val="0"/>
      <w:tabs>
        <w:tab w:val="left" w:pos="357"/>
      </w:tabs>
      <w:spacing w:after="240"/>
      <w:ind w:left="357" w:hanging="357"/>
    </w:pPr>
    <w:rPr>
      <w:noProof w:val="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vironment/waste/packaging/pdf/statistics_consultation.xl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3205</Words>
  <Characters>18275</Characters>
  <Application>Microsoft Office Word</Application>
  <DocSecurity>0</DocSecurity>
  <Lines>152</Lines>
  <Paragraphs>42</Paragraphs>
  <ScaleCrop>false</ScaleCrop>
  <Company/>
  <LinksUpToDate>false</LinksUpToDate>
  <CharactersWithSpaces>21438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Branislav Moňok</dc:creator>
  <cp:lastModifiedBy>Branislav Moňok</cp:lastModifiedBy>
  <cp:revision>1</cp:revision>
  <dcterms:created xsi:type="dcterms:W3CDTF">2014-01-15T16:54:00Z</dcterms:created>
  <dcterms:modified xsi:type="dcterms:W3CDTF">2014-01-15T16:55:00Z</dcterms:modified>
</cp:coreProperties>
</file>